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b w:val="1"/>
          <w:sz w:val="28"/>
          <w:szCs w:val="28"/>
        </w:rPr>
      </w:pPr>
      <w:bookmarkStart w:colFirst="0" w:colLast="0" w:name="_hpv8t4oe0rps" w:id="0"/>
      <w:bookmarkEnd w:id="0"/>
      <w:r w:rsidDel="00000000" w:rsidR="00000000" w:rsidRPr="00000000">
        <w:rPr>
          <w:b w:val="1"/>
          <w:sz w:val="28"/>
          <w:szCs w:val="28"/>
          <w:rtl w:val="0"/>
        </w:rPr>
        <w:t xml:space="preserve">Změna DPH se promítla i do akčních cen potravin</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ind w:right="-40.8661417322827"/>
        <w:rPr/>
      </w:pPr>
      <w:r w:rsidDel="00000000" w:rsidR="00000000" w:rsidRPr="00000000">
        <w:rPr>
          <w:i w:val="1"/>
          <w:rtl w:val="0"/>
        </w:rPr>
        <w:t xml:space="preserve">Praha 17. ledna 2024</w:t>
      </w:r>
      <w:r w:rsidDel="00000000" w:rsidR="00000000" w:rsidRPr="00000000">
        <w:rPr>
          <w:rtl w:val="0"/>
        </w:rPr>
        <w:t xml:space="preserve">:</w:t>
      </w:r>
      <w:r w:rsidDel="00000000" w:rsidR="00000000" w:rsidRPr="00000000">
        <w:rPr>
          <w:rtl w:val="0"/>
        </w:rPr>
        <w:t xml:space="preserve"> Podle dat nákupního rádce Kupi.cz, který hlídá ceny </w:t>
        <w:br w:type="textWrapping"/>
        <w:t xml:space="preserve">v supermarketech a hypermarketech, se akční ceny řady potravin spadajících nově do nižší sazby DPH začátkem ledna snížily oproti prosinci průměrně o 3 %, tedy o stejnou hodnotu jako DPH. Oproti tomu podražily většinou produkty, které nově spadají do vyšší sazby DPH.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Z datové analýzy cen v akčních letácích podle Kupi.cz vyplynulo, že byly ceny ovlivněny především změnou v sazbě DPH. Asi o 3 % totiž zlevnily například mléčné výrobky, maso, uzeniny, sladkosti a slané snacky. Z nealko nápojů pak čaj a káva.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Akční cena se snížila</w:t>
      </w:r>
      <w:r w:rsidDel="00000000" w:rsidR="00000000" w:rsidRPr="00000000">
        <w:rPr>
          <w:rtl w:val="0"/>
        </w:rPr>
        <w:t xml:space="preserve"> u vepřové plece bez kosti, kterou zákazníci koupí oproti prosinci 2023 levněji ve více obchodech – například Kaufland ji prodává levněji o 10 Kč na 89,90 Kč za kilo. Ceny v akci klesly také u některých kuřecích prsních řízků. </w:t>
      </w:r>
    </w:p>
    <w:p w:rsidR="00000000" w:rsidDel="00000000" w:rsidP="00000000" w:rsidRDefault="00000000" w:rsidRPr="00000000" w14:paraId="00000009">
      <w:pPr>
        <w:rPr/>
      </w:pPr>
      <w:r w:rsidDel="00000000" w:rsidR="00000000" w:rsidRPr="00000000">
        <w:rPr>
          <w:rtl w:val="0"/>
        </w:rPr>
        <w:t xml:space="preserve">Ze základních potravin se akční ceny snížily u těstovin, sýru eidamského typu nebo camembertu. Levněji v akci koupí zákazníci také sladkosti (Horalky, tyčinka Margot, Ledové kaštany), slané snacky (brambůrky, tyčinky), některé druhy káv (Jihlavanka, Nescafé), sirupy, tuňákové saláty nebo mléčné výrobky (jogurty, tvaroh, pomazánková másla, lučina, jogurtové nápoje aj.)</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Oproti tomu </w:t>
      </w:r>
      <w:r w:rsidDel="00000000" w:rsidR="00000000" w:rsidRPr="00000000">
        <w:rPr>
          <w:b w:val="1"/>
          <w:rtl w:val="0"/>
        </w:rPr>
        <w:t xml:space="preserve">se v lednu zvýšily akční ceny</w:t>
      </w:r>
      <w:r w:rsidDel="00000000" w:rsidR="00000000" w:rsidRPr="00000000">
        <w:rPr>
          <w:rtl w:val="0"/>
        </w:rPr>
        <w:t xml:space="preserve"> piv, limonád, minerálních a pramenitých vod nebo džusů a likérů, tedy produktů, které nově spadají do vyšší sazby DPH.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i w:val="1"/>
          <w:rtl w:val="0"/>
        </w:rPr>
        <w:t xml:space="preserve">Zaznamenali jsme zvýšení akčních cen u sladkých limonád, jako jsou Coca Cola, Pepsi nebo Mirinda. 2 litry Coca Coly nově koupíme v akci nejčastěji za 39,90 Kč oproti prosincovým 36,90 Kč. Z nealkoholických nápojů podražil také tonic nebo některé druhy džusů,</w:t>
      </w:r>
      <w:r w:rsidDel="00000000" w:rsidR="00000000" w:rsidRPr="00000000">
        <w:rPr>
          <w:rtl w:val="0"/>
        </w:rPr>
        <w:t xml:space="preserve">“ uvedla Monika Kopčilová, datová analytička Kupi.cz.</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 několik procent zdražily rovněž některé druhy lahvových piv (pivo světlé výčepní Velkopopovický Kozel, světlý ležák Krušovice), jiné naopak zlevnily (Pilsner Urquell), protože čeští zákazníci jsou na cenu piva citliví. Výrazněji porostly ceny také u některých druhů whisky – například Jameson zdražil v akci o 50 Kč na 349,90 Kč za 0,7 l (Billa, Albert, Tesco).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Z kategorie ovoce a zelenina jsou dražší například mandarinky nebo okurka hadovka (sezónní produkty).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i w:val="1"/>
          <w:rtl w:val="0"/>
        </w:rPr>
        <w:t xml:space="preserve">V aktuálně dostupných datech jsme zatím nezaznamenali žádné změny v obsahu letáků</w:t>
      </w:r>
      <w:r w:rsidDel="00000000" w:rsidR="00000000" w:rsidRPr="00000000">
        <w:rPr>
          <w:rtl w:val="0"/>
        </w:rPr>
        <w:t xml:space="preserve">,“ doplnila Kopčilová.</w:t>
      </w:r>
    </w:p>
    <w:p w:rsidR="00000000" w:rsidDel="00000000" w:rsidP="00000000" w:rsidRDefault="00000000" w:rsidRPr="00000000" w14:paraId="00000014">
      <w:pPr>
        <w:rPr/>
      </w:pPr>
      <w:r w:rsidDel="00000000" w:rsidR="00000000" w:rsidRPr="00000000">
        <w:rPr>
          <w:rtl w:val="0"/>
        </w:rPr>
      </w:r>
    </w:p>
    <w:sectPr>
      <w:headerReference r:id="rId6" w:type="default"/>
      <w:headerReference r:id="rId7" w:type="firs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pto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leader="none" w:pos="4536"/>
        <w:tab w:val="right" w:leader="none" w:pos="9072"/>
        <w:tab w:val="left" w:leader="none" w:pos="6705"/>
      </w:tabs>
      <w:spacing w:line="240" w:lineRule="auto"/>
      <w:rPr>
        <w:rFonts w:ascii="Aptos" w:cs="Aptos" w:eastAsia="Aptos" w:hAnsi="Aptos"/>
      </w:rPr>
    </w:pPr>
    <w:r w:rsidDel="00000000" w:rsidR="00000000" w:rsidRPr="00000000">
      <w:rPr>
        <w:rFonts w:ascii="Aptos" w:cs="Aptos" w:eastAsia="Aptos" w:hAnsi="Aptos"/>
      </w:rPr>
      <w:drawing>
        <wp:inline distB="0" distT="0" distL="0" distR="0">
          <wp:extent cx="1120456" cy="393674"/>
          <wp:effectExtent b="0" l="0" r="0" t="0"/>
          <wp:docPr descr="Obsah obrázku Písmo, Grafika, grafický design, logo&#10;&#10;Popis byl vytvořen automaticky" id="1" name="image1.png"/>
          <a:graphic>
            <a:graphicData uri="http://schemas.openxmlformats.org/drawingml/2006/picture">
              <pic:pic>
                <pic:nvPicPr>
                  <pic:cNvPr descr="Obsah obrázku Písmo, Grafika, grafický design, logo&#10;&#10;Popis byl vytvořen automaticky" id="0" name="image1.png"/>
                  <pic:cNvPicPr preferRelativeResize="0"/>
                </pic:nvPicPr>
                <pic:blipFill>
                  <a:blip r:embed="rId1"/>
                  <a:srcRect b="0" l="0" r="0" t="0"/>
                  <a:stretch>
                    <a:fillRect/>
                  </a:stretch>
                </pic:blipFill>
                <pic:spPr>
                  <a:xfrm>
                    <a:off x="0" y="0"/>
                    <a:ext cx="1120456" cy="39367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tabs>
        <w:tab w:val="center" w:leader="none" w:pos="4536"/>
        <w:tab w:val="right" w:leader="none" w:pos="9072"/>
        <w:tab w:val="left" w:leader="none" w:pos="6705"/>
      </w:tabs>
      <w:spacing w:line="240" w:lineRule="auto"/>
      <w:rPr>
        <w:rFonts w:ascii="Aptos" w:cs="Aptos" w:eastAsia="Aptos" w:hAnsi="Aptos"/>
      </w:rPr>
    </w:pPr>
    <w:r w:rsidDel="00000000" w:rsidR="00000000" w:rsidRPr="00000000">
      <w:rPr>
        <w:rtl w:val="0"/>
      </w:rPr>
    </w:r>
  </w:p>
  <w:p w:rsidR="00000000" w:rsidDel="00000000" w:rsidP="00000000" w:rsidRDefault="00000000" w:rsidRPr="00000000" w14:paraId="00000018">
    <w:pPr>
      <w:tabs>
        <w:tab w:val="center" w:leader="none" w:pos="4536"/>
        <w:tab w:val="right" w:leader="none" w:pos="9072"/>
        <w:tab w:val="left" w:leader="none" w:pos="6705"/>
      </w:tabs>
      <w:spacing w:line="276" w:lineRule="auto"/>
      <w:rPr>
        <w:sz w:val="24"/>
        <w:szCs w:val="24"/>
      </w:rPr>
    </w:pPr>
    <w:r w:rsidDel="00000000" w:rsidR="00000000" w:rsidRPr="00000000">
      <w:rPr>
        <w:sz w:val="24"/>
        <w:szCs w:val="24"/>
        <w:rtl w:val="0"/>
      </w:rPr>
      <w:t xml:space="preserve">Monika Kopčilová</w:t>
    </w:r>
  </w:p>
  <w:p w:rsidR="00000000" w:rsidDel="00000000" w:rsidP="00000000" w:rsidRDefault="00000000" w:rsidRPr="00000000" w14:paraId="00000019">
    <w:pPr>
      <w:tabs>
        <w:tab w:val="center" w:leader="none" w:pos="4536"/>
        <w:tab w:val="right" w:leader="none" w:pos="9072"/>
        <w:tab w:val="left" w:leader="none" w:pos="6705"/>
      </w:tabs>
      <w:spacing w:line="276" w:lineRule="auto"/>
      <w:rPr>
        <w:sz w:val="20"/>
        <w:szCs w:val="20"/>
      </w:rPr>
    </w:pPr>
    <w:r w:rsidDel="00000000" w:rsidR="00000000" w:rsidRPr="00000000">
      <w:rPr>
        <w:sz w:val="20"/>
        <w:szCs w:val="20"/>
        <w:rtl w:val="0"/>
      </w:rPr>
      <w:t xml:space="preserve">Produktová specialistka</w:t>
    </w:r>
  </w:p>
  <w:p w:rsidR="00000000" w:rsidDel="00000000" w:rsidP="00000000" w:rsidRDefault="00000000" w:rsidRPr="00000000" w14:paraId="0000001A">
    <w:pPr>
      <w:tabs>
        <w:tab w:val="center" w:leader="none" w:pos="4536"/>
        <w:tab w:val="right" w:leader="none" w:pos="9072"/>
        <w:tab w:val="left" w:leader="none" w:pos="6705"/>
      </w:tabs>
      <w:spacing w:line="276" w:lineRule="auto"/>
      <w:rPr>
        <w:sz w:val="20"/>
        <w:szCs w:val="20"/>
      </w:rPr>
    </w:pPr>
    <w:hyperlink r:id="rId2">
      <w:r w:rsidDel="00000000" w:rsidR="00000000" w:rsidRPr="00000000">
        <w:rPr>
          <w:color w:val="467886"/>
          <w:sz w:val="20"/>
          <w:szCs w:val="20"/>
          <w:u w:val="single"/>
          <w:rtl w:val="0"/>
        </w:rPr>
        <w:t xml:space="preserve">www.kupi.cz</w:t>
      </w:r>
    </w:hyperlink>
    <w:r w:rsidDel="00000000" w:rsidR="00000000" w:rsidRPr="00000000">
      <w:rPr>
        <w:sz w:val="20"/>
        <w:szCs w:val="20"/>
        <w:rtl w:val="0"/>
      </w:rPr>
      <w:tab/>
    </w:r>
  </w:p>
  <w:p w:rsidR="00000000" w:rsidDel="00000000" w:rsidP="00000000" w:rsidRDefault="00000000" w:rsidRPr="00000000" w14:paraId="0000001B">
    <w:pPr>
      <w:tabs>
        <w:tab w:val="center" w:leader="none" w:pos="4536"/>
        <w:tab w:val="right" w:leader="none" w:pos="9072"/>
      </w:tabs>
      <w:spacing w:line="276" w:lineRule="auto"/>
      <w:rPr/>
    </w:pPr>
    <w:r w:rsidDel="00000000" w:rsidR="00000000" w:rsidRPr="00000000">
      <w:rPr>
        <w:sz w:val="20"/>
        <w:szCs w:val="20"/>
        <w:rtl w:val="0"/>
      </w:rPr>
      <w:t xml:space="preserve">e-mail: kopcilova@kupi.cz</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kup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